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55" w:right="270" w:firstLine="0"/>
        <w:jc w:val="center"/>
        <w:rPr>
          <w:rFonts w:ascii="Georgia" w:cs="Georgia" w:eastAsia="Georgia" w:hAnsi="Georgia"/>
          <w:i w:val="1"/>
          <w:sz w:val="48"/>
          <w:szCs w:val="48"/>
        </w:rPr>
      </w:pPr>
      <w:r w:rsidDel="00000000" w:rsidR="00000000" w:rsidRPr="00000000">
        <w:rPr>
          <w:rFonts w:ascii="Montserrat Thin" w:cs="Montserrat Thin" w:eastAsia="Montserrat Thin" w:hAnsi="Montserrat Thin"/>
          <w:sz w:val="60"/>
          <w:szCs w:val="60"/>
          <w:rtl w:val="0"/>
        </w:rPr>
        <w:t xml:space="preserve">INTYG</w:t>
      </w:r>
      <w:r w:rsidDel="00000000" w:rsidR="00000000" w:rsidRPr="00000000">
        <w:rPr>
          <w:rtl w:val="0"/>
        </w:rPr>
      </w:r>
    </w:p>
    <w:p w:rsidR="00000000" w:rsidDel="00000000" w:rsidP="00000000" w:rsidRDefault="00000000" w:rsidRPr="00000000" w14:paraId="00000002">
      <w:pPr>
        <w:ind w:left="255" w:right="270" w:firstLine="0"/>
        <w:jc w:val="center"/>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48"/>
          <w:szCs w:val="48"/>
          <w:rtl w:val="0"/>
        </w:rPr>
        <w:t xml:space="preserve">Förnamn Efternamn</w:t>
      </w:r>
      <w:r w:rsidDel="00000000" w:rsidR="00000000" w:rsidRPr="00000000">
        <w:rPr>
          <w:rtl w:val="0"/>
        </w:rPr>
      </w:r>
    </w:p>
    <w:p w:rsidR="00000000" w:rsidDel="00000000" w:rsidP="00000000" w:rsidRDefault="00000000" w:rsidRPr="00000000" w14:paraId="00000003">
      <w:pPr>
        <w:ind w:left="255" w:right="2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255"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 under tiden 20XX-20XX aktivt deltagit i </w:t>
      </w:r>
      <w:r w:rsidDel="00000000" w:rsidR="00000000" w:rsidRPr="00000000">
        <w:rPr>
          <w:rFonts w:ascii="Times New Roman" w:cs="Times New Roman" w:eastAsia="Times New Roman" w:hAnsi="Times New Roman"/>
          <w:i w:val="1"/>
          <w:sz w:val="20"/>
          <w:szCs w:val="20"/>
          <w:rtl w:val="0"/>
        </w:rPr>
        <w:t xml:space="preserve">Tolgmodellen</w:t>
      </w:r>
      <w:r w:rsidDel="00000000" w:rsidR="00000000" w:rsidRPr="00000000">
        <w:rPr>
          <w:rFonts w:ascii="Times New Roman" w:cs="Times New Roman" w:eastAsia="Times New Roman" w:hAnsi="Times New Roman"/>
          <w:sz w:val="20"/>
          <w:szCs w:val="20"/>
          <w:rtl w:val="0"/>
        </w:rPr>
        <w:t xml:space="preserve"> - en 10-veckors arbetsmarknadsinsats för nyanlända. Modellens fokus är att se till hela människan vid etablering. </w:t>
      </w:r>
    </w:p>
    <w:p w:rsidR="00000000" w:rsidDel="00000000" w:rsidP="00000000" w:rsidRDefault="00000000" w:rsidRPr="00000000" w14:paraId="00000005">
      <w:pPr>
        <w:ind w:left="255" w:right="2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Modellen består av:</w:t>
      </w:r>
    </w:p>
    <w:p w:rsidR="00000000" w:rsidDel="00000000" w:rsidP="00000000" w:rsidRDefault="00000000" w:rsidRPr="00000000" w14:paraId="00000006">
      <w:pPr>
        <w:ind w:left="255" w:right="27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ind w:left="255" w:right="270" w:firstLine="0"/>
        <w:rPr>
          <w:rFonts w:ascii="Times New Roman" w:cs="Times New Roman" w:eastAsia="Times New Roman" w:hAnsi="Times New Roman"/>
          <w:sz w:val="20"/>
          <w:szCs w:val="20"/>
        </w:rPr>
      </w:pPr>
      <w:r w:rsidDel="00000000" w:rsidR="00000000" w:rsidRPr="00000000">
        <w:rPr>
          <w:rFonts w:ascii="Montserrat" w:cs="Montserrat" w:eastAsia="Montserrat" w:hAnsi="Montserrat"/>
          <w:sz w:val="20"/>
          <w:szCs w:val="20"/>
          <w:rtl w:val="0"/>
        </w:rPr>
        <w:t xml:space="preserve">Praktisk svenska</w:t>
      </w:r>
      <w:r w:rsidDel="00000000" w:rsidR="00000000" w:rsidRPr="00000000">
        <w:rPr>
          <w:rFonts w:ascii="Montserrat" w:cs="Montserrat" w:eastAsia="Montserrat" w:hAnsi="Montserrat"/>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Tolgmodellens</w:t>
      </w:r>
      <w:r w:rsidDel="00000000" w:rsidR="00000000" w:rsidRPr="00000000">
        <w:rPr>
          <w:rFonts w:ascii="Times New Roman" w:cs="Times New Roman" w:eastAsia="Times New Roman" w:hAnsi="Times New Roman"/>
          <w:sz w:val="20"/>
          <w:szCs w:val="20"/>
          <w:rtl w:val="0"/>
        </w:rPr>
        <w:t xml:space="preserve"> språkundervisning har en praktisk utgångspunkt där omgivningen används som främsta läromedel. Språkundervisning har skett på anpassad nivå med inslag av jämförande diskussioner om kultur där vi sökt likheter såväl som skillnader. Dialog kring händelser och ord i deltagarnas vardag samt samhällsorientering med inriktning på arbetsmarknaden har varit i fokus.</w:t>
      </w:r>
    </w:p>
    <w:p w:rsidR="00000000" w:rsidDel="00000000" w:rsidP="00000000" w:rsidRDefault="00000000" w:rsidRPr="00000000" w14:paraId="00000008">
      <w:pPr>
        <w:ind w:left="255" w:right="27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9">
      <w:pPr>
        <w:ind w:left="255" w:right="270" w:firstLine="0"/>
        <w:rPr>
          <w:rFonts w:ascii="Times New Roman" w:cs="Times New Roman" w:eastAsia="Times New Roman" w:hAnsi="Times New Roman"/>
          <w:sz w:val="20"/>
          <w:szCs w:val="20"/>
        </w:rPr>
      </w:pPr>
      <w:r w:rsidDel="00000000" w:rsidR="00000000" w:rsidRPr="00000000">
        <w:rPr>
          <w:rFonts w:ascii="Montserrat" w:cs="Montserrat" w:eastAsia="Montserrat" w:hAnsi="Montserrat"/>
          <w:sz w:val="20"/>
          <w:szCs w:val="20"/>
          <w:rtl w:val="0"/>
        </w:rPr>
        <w:t xml:space="preserve">Vistelse i hälsoträdgård</w:t>
      </w:r>
      <w:r w:rsidDel="00000000" w:rsidR="00000000" w:rsidRPr="00000000">
        <w:rPr>
          <w:rFonts w:ascii="Georgia" w:cs="Georgia" w:eastAsia="Georgia" w:hAnsi="Georgia"/>
          <w:sz w:val="20"/>
          <w:szCs w:val="20"/>
          <w:rtl w:val="0"/>
        </w:rPr>
        <w:br w:type="textWrapping"/>
      </w:r>
      <w:r w:rsidDel="00000000" w:rsidR="00000000" w:rsidRPr="00000000">
        <w:rPr>
          <w:rFonts w:ascii="Times New Roman" w:cs="Times New Roman" w:eastAsia="Times New Roman" w:hAnsi="Times New Roman"/>
          <w:sz w:val="20"/>
          <w:szCs w:val="20"/>
          <w:rtl w:val="0"/>
        </w:rPr>
        <w:t xml:space="preserve">Forskning visar att återhämtning genom vistelse i naturen är positivt för hälsan. I </w:t>
      </w:r>
      <w:r w:rsidDel="00000000" w:rsidR="00000000" w:rsidRPr="00000000">
        <w:rPr>
          <w:rFonts w:ascii="Times New Roman" w:cs="Times New Roman" w:eastAsia="Times New Roman" w:hAnsi="Times New Roman"/>
          <w:i w:val="1"/>
          <w:sz w:val="20"/>
          <w:szCs w:val="20"/>
          <w:rtl w:val="0"/>
        </w:rPr>
        <w:t xml:space="preserve">Tolgmodellen</w:t>
      </w:r>
      <w:r w:rsidDel="00000000" w:rsidR="00000000" w:rsidRPr="00000000">
        <w:rPr>
          <w:rFonts w:ascii="Times New Roman" w:cs="Times New Roman" w:eastAsia="Times New Roman" w:hAnsi="Times New Roman"/>
          <w:sz w:val="20"/>
          <w:szCs w:val="20"/>
          <w:rtl w:val="0"/>
        </w:rPr>
        <w:t xml:space="preserve"> har deltagarna därför schemalagd tid i en hälsoträdgård. I trädgården har det givits utrymme för samtal i grupp, egen tid i trädgården och trädgårdsrelaterade aktiviteter. Under hösten har deltagarna diskuterat växter, årstidsväxlingar samt likheter och skillnader mellan våra länder. I trädgården har även praktiska aktiviteter genomförts, såsom beskärning av äppelträd.</w:t>
      </w:r>
    </w:p>
    <w:p w:rsidR="00000000" w:rsidDel="00000000" w:rsidP="00000000" w:rsidRDefault="00000000" w:rsidRPr="00000000" w14:paraId="0000000A">
      <w:pPr>
        <w:ind w:left="255" w:right="27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B">
      <w:pPr>
        <w:ind w:left="255" w:right="270" w:firstLine="0"/>
        <w:rPr>
          <w:rFonts w:ascii="Times New Roman" w:cs="Times New Roman" w:eastAsia="Times New Roman" w:hAnsi="Times New Roman"/>
          <w:sz w:val="20"/>
          <w:szCs w:val="20"/>
        </w:rPr>
      </w:pPr>
      <w:r w:rsidDel="00000000" w:rsidR="00000000" w:rsidRPr="00000000">
        <w:rPr>
          <w:rFonts w:ascii="Montserrat" w:cs="Montserrat" w:eastAsia="Montserrat" w:hAnsi="Montserrat"/>
          <w:sz w:val="20"/>
          <w:szCs w:val="20"/>
          <w:rtl w:val="0"/>
        </w:rPr>
        <w:t xml:space="preserve">Praktik på arbetsplats</w:t>
        <w:br w:type="textWrapping"/>
      </w:r>
      <w:r w:rsidDel="00000000" w:rsidR="00000000" w:rsidRPr="00000000">
        <w:rPr>
          <w:rFonts w:ascii="Times New Roman" w:cs="Times New Roman" w:eastAsia="Times New Roman" w:hAnsi="Times New Roman"/>
          <w:sz w:val="20"/>
          <w:szCs w:val="20"/>
          <w:rtl w:val="0"/>
        </w:rPr>
        <w:t xml:space="preserve">I </w:t>
      </w:r>
      <w:r w:rsidDel="00000000" w:rsidR="00000000" w:rsidRPr="00000000">
        <w:rPr>
          <w:rFonts w:ascii="Times New Roman" w:cs="Times New Roman" w:eastAsia="Times New Roman" w:hAnsi="Times New Roman"/>
          <w:i w:val="1"/>
          <w:sz w:val="20"/>
          <w:szCs w:val="20"/>
          <w:rtl w:val="0"/>
        </w:rPr>
        <w:t xml:space="preserve">Tolgmodellen </w:t>
      </w:r>
      <w:r w:rsidDel="00000000" w:rsidR="00000000" w:rsidRPr="00000000">
        <w:rPr>
          <w:rFonts w:ascii="Times New Roman" w:cs="Times New Roman" w:eastAsia="Times New Roman" w:hAnsi="Times New Roman"/>
          <w:sz w:val="20"/>
          <w:szCs w:val="20"/>
          <w:rtl w:val="0"/>
        </w:rPr>
        <w:t xml:space="preserve">är det viktigt att deltagarna ingår i ett större sammanhang. Att göra praktik på en arbetsplats är en pusselbit i detta. Här får man möjlighet att visa kompetenser från tidigare erfarenheter såväl som att lära sig nya och att öva på språket. NAMN EFTERNAMN har genomfört sin praktik hos FÖRETAGSNAMN  där xxxxxxxxxxxxxxxxxxxxxxxxxxxxxxxxxxxxxxxxx. HXX har också arbetat med att xxxxxxxxxxxxxxxxxxxxxxxxxxxxxxx. NAMN EFTERNAMN har genom sin praktik fått inblick i xxxxxxxxxxxxxxxxxxxx.</w:t>
      </w:r>
    </w:p>
    <w:p w:rsidR="00000000" w:rsidDel="00000000" w:rsidP="00000000" w:rsidRDefault="00000000" w:rsidRPr="00000000" w14:paraId="0000000C">
      <w:pPr>
        <w:ind w:left="255" w:right="270" w:firstLine="0"/>
        <w:rPr>
          <w:rFonts w:ascii="Georgia" w:cs="Georgia" w:eastAsia="Georgia" w:hAnsi="Georgia"/>
          <w:i w:val="1"/>
          <w:sz w:val="16"/>
          <w:szCs w:val="16"/>
        </w:rPr>
      </w:pPr>
      <w:r w:rsidDel="00000000" w:rsidR="00000000" w:rsidRPr="00000000">
        <w:rPr>
          <w:rFonts w:ascii="Georgia" w:cs="Georgia" w:eastAsia="Georgia" w:hAnsi="Georgia"/>
          <w:rtl w:val="0"/>
        </w:rPr>
        <w:br w:type="textWrapping"/>
        <w:br w:type="textWrapping"/>
      </w:r>
      <w:r w:rsidDel="00000000" w:rsidR="00000000" w:rsidRPr="00000000">
        <w:rPr>
          <w:rFonts w:ascii="Georgia" w:cs="Georgia" w:eastAsia="Georgia" w:hAnsi="Georgia"/>
          <w:i w:val="1"/>
          <w:sz w:val="16"/>
          <w:szCs w:val="16"/>
          <w:rtl w:val="0"/>
        </w:rPr>
        <w:t xml:space="preserve">Ort, månad år</w:t>
      </w:r>
    </w:p>
    <w:p w:rsidR="00000000" w:rsidDel="00000000" w:rsidP="00000000" w:rsidRDefault="00000000" w:rsidRPr="00000000" w14:paraId="0000000D">
      <w:pPr>
        <w:ind w:left="255" w:right="27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E">
      <w:pPr>
        <w:ind w:left="255" w:right="27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F">
      <w:pPr>
        <w:ind w:left="255" w:right="270" w:firstLine="0"/>
        <w:rPr>
          <w:rFonts w:ascii="Georgia" w:cs="Georgia" w:eastAsia="Georgia" w:hAnsi="Georgia"/>
          <w:sz w:val="16"/>
          <w:szCs w:val="16"/>
        </w:rPr>
      </w:pPr>
      <w:r w:rsidDel="00000000" w:rsidR="00000000" w:rsidRPr="00000000">
        <w:rPr>
          <w:rFonts w:ascii="Georgia" w:cs="Georgia" w:eastAsia="Georgia" w:hAnsi="Georgia"/>
          <w:sz w:val="20"/>
          <w:szCs w:val="20"/>
          <w:rtl w:val="0"/>
        </w:rPr>
        <w:t xml:space="preserve">_________________________</w:t>
        <w:br w:type="textWrapping"/>
      </w:r>
      <w:r w:rsidDel="00000000" w:rsidR="00000000" w:rsidRPr="00000000">
        <w:rPr>
          <w:rFonts w:ascii="Georgia" w:cs="Georgia" w:eastAsia="Georgia" w:hAnsi="Georgia"/>
          <w:sz w:val="16"/>
          <w:szCs w:val="16"/>
          <w:rtl w:val="0"/>
        </w:rPr>
        <w:t xml:space="preserve">Förnamn Efternamn, Verksamhetssamordnare</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sz w:val="16"/>
          <w:szCs w:val="16"/>
          <w:rtl w:val="0"/>
        </w:rPr>
        <w:t xml:space="preserve">mejl@företag.se</w:t>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Thin">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rFonts w:ascii="Montserrat" w:cs="Montserrat" w:eastAsia="Montserrat" w:hAnsi="Montserrat"/>
        <w:color w:val="434343"/>
      </w:rPr>
    </w:pPr>
    <w:r w:rsidDel="00000000" w:rsidR="00000000" w:rsidRPr="00000000">
      <w:rPr>
        <w:rFonts w:ascii="Montserrat" w:cs="Montserrat" w:eastAsia="Montserrat" w:hAnsi="Montserrat"/>
        <w:i w:val="1"/>
        <w:color w:val="434343"/>
        <w:sz w:val="16"/>
        <w:szCs w:val="16"/>
        <w:rtl w:val="0"/>
      </w:rPr>
      <w:t xml:space="preserve">Tolgmodellen</w:t>
    </w:r>
    <w:r w:rsidDel="00000000" w:rsidR="00000000" w:rsidRPr="00000000">
      <w:rPr>
        <w:rFonts w:ascii="Montserrat" w:cs="Montserrat" w:eastAsia="Montserrat" w:hAnsi="Montserrat"/>
        <w:color w:val="434343"/>
        <w:sz w:val="16"/>
        <w:szCs w:val="16"/>
        <w:rtl w:val="0"/>
      </w:rPr>
      <w:t xml:space="preserve"> är en 10-veckors arbetsmarknadsinsats finansierad av Arbetsförmedlingen, framtagen och genomförd av Nybrukarna. </w:t>
    </w:r>
    <w:r w:rsidDel="00000000" w:rsidR="00000000" w:rsidRPr="00000000">
      <w:rPr>
        <w:rFonts w:ascii="Montserrat" w:cs="Montserrat" w:eastAsia="Montserrat" w:hAnsi="Montserrat"/>
        <w:i w:val="1"/>
        <w:color w:val="434343"/>
        <w:sz w:val="16"/>
        <w:szCs w:val="16"/>
        <w:rtl w:val="0"/>
      </w:rPr>
      <w:t xml:space="preserve">Tolgmodellen </w:t>
    </w:r>
    <w:r w:rsidDel="00000000" w:rsidR="00000000" w:rsidRPr="00000000">
      <w:rPr>
        <w:rFonts w:ascii="Montserrat" w:cs="Montserrat" w:eastAsia="Montserrat" w:hAnsi="Montserrat"/>
        <w:color w:val="434343"/>
        <w:sz w:val="16"/>
        <w:szCs w:val="16"/>
        <w:rtl w:val="0"/>
      </w:rPr>
      <w:t xml:space="preserve">utgår från ett holistiskt och praktiskt perspektiv där tre block fogas samman till en helhetsinsats vid etablering av nyanlända. Modellen baseras på såväl forskning som på samverkan med aktörer i närområdet. För vidare information, se </w:t>
    </w:r>
    <w:hyperlink r:id="rId1">
      <w:r w:rsidDel="00000000" w:rsidR="00000000" w:rsidRPr="00000000">
        <w:rPr>
          <w:rFonts w:ascii="Montserrat" w:cs="Montserrat" w:eastAsia="Montserrat" w:hAnsi="Montserrat"/>
          <w:color w:val="434343"/>
          <w:sz w:val="16"/>
          <w:szCs w:val="16"/>
          <w:u w:val="single"/>
          <w:rtl w:val="0"/>
        </w:rPr>
        <w:t xml:space="preserve">http://tolgmodellen.nybrukarna.se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ind w:left="1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2">
    <w:pPr>
      <w:ind w:left="120" w:firstLine="0"/>
      <w:jc w:val="center"/>
      <w:rPr>
        <w:sz w:val="24"/>
        <w:szCs w:val="24"/>
      </w:rPr>
    </w:pPr>
    <w:r w:rsidDel="00000000" w:rsidR="00000000" w:rsidRPr="00000000">
      <w:rPr>
        <w:rFonts w:ascii="Georgia" w:cs="Georgia" w:eastAsia="Georgia" w:hAnsi="Georgia"/>
        <w:b w:val="1"/>
        <w:sz w:val="60"/>
        <w:szCs w:val="60"/>
      </w:rPr>
      <w:drawing>
        <wp:inline distB="114300" distT="114300" distL="114300" distR="114300">
          <wp:extent cx="2138363" cy="21987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8363" cy="21987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Thin-italic.ttf"/><Relationship Id="rId10" Type="http://schemas.openxmlformats.org/officeDocument/2006/relationships/font" Target="fonts/MontserratThin-bold.ttf"/><Relationship Id="rId12" Type="http://schemas.openxmlformats.org/officeDocument/2006/relationships/font" Target="fonts/MontserratThin-boldItalic.ttf"/><Relationship Id="rId9" Type="http://schemas.openxmlformats.org/officeDocument/2006/relationships/font" Target="fonts/MontserratThin-regular.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olgmodellen.nybrukarn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